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4023 Health Promotion </w:t>
            </w:r>
            <w:r w:rsidRPr="00482521">
              <w:rPr>
                <w:bCs/>
                <w:color w:val="333333"/>
                <w:sz w:val="20"/>
                <w:szCs w:val="20"/>
              </w:rPr>
              <w:lastRenderedPageBreak/>
              <w:t>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 xml:space="preserve">NURS 3752 Professional Role </w:t>
            </w:r>
            <w:r w:rsidRPr="00482521">
              <w:rPr>
                <w:sz w:val="20"/>
                <w:szCs w:val="20"/>
              </w:rPr>
              <w:lastRenderedPageBreak/>
              <w:t>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 xml:space="preserve">NURS 4452 Professional Role </w:t>
            </w:r>
            <w:r w:rsidRPr="00482521">
              <w:rPr>
                <w:sz w:val="20"/>
                <w:szCs w:val="20"/>
              </w:rPr>
              <w:lastRenderedPageBreak/>
              <w:t>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 xml:space="preserve">NURS 4154 Nursing Concepts: </w:t>
            </w:r>
            <w:r w:rsidRPr="00482521">
              <w:rPr>
                <w:sz w:val="20"/>
                <w:szCs w:val="20"/>
              </w:rPr>
              <w:lastRenderedPageBreak/>
              <w:t>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lastRenderedPageBreak/>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8795D"/>
    <w:rsid w:val="001A7782"/>
    <w:rsid w:val="001F7CBF"/>
    <w:rsid w:val="00251789"/>
    <w:rsid w:val="002E25AD"/>
    <w:rsid w:val="002F3D6E"/>
    <w:rsid w:val="003303DD"/>
    <w:rsid w:val="00443307"/>
    <w:rsid w:val="00482521"/>
    <w:rsid w:val="004A7C1B"/>
    <w:rsid w:val="00500293"/>
    <w:rsid w:val="005A6FF5"/>
    <w:rsid w:val="00617DFB"/>
    <w:rsid w:val="00656D4B"/>
    <w:rsid w:val="00715AD4"/>
    <w:rsid w:val="007335E4"/>
    <w:rsid w:val="00740B2D"/>
    <w:rsid w:val="00743264"/>
    <w:rsid w:val="00763844"/>
    <w:rsid w:val="007A6C00"/>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2018-11-08T20:34:00Z</dcterms:created>
  <dcterms:modified xsi:type="dcterms:W3CDTF">2018-11-08T20:34:00Z</dcterms:modified>
</cp:coreProperties>
</file>