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C7" w:rsidRPr="000D4395" w:rsidRDefault="000A5B02" w:rsidP="000A5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4395">
        <w:rPr>
          <w:rFonts w:ascii="Times New Roman" w:hAnsi="Times New Roman" w:cs="Times New Roman"/>
          <w:b/>
          <w:sz w:val="24"/>
          <w:szCs w:val="24"/>
        </w:rPr>
        <w:t>Proposal – Institute for Advanced Data Analytics</w:t>
      </w:r>
      <w:r w:rsidR="00C51B74" w:rsidRPr="000D439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0A5B02" w:rsidRPr="000D4395" w:rsidRDefault="000A5B02" w:rsidP="000A5B02">
      <w:pPr>
        <w:pStyle w:val="Default"/>
        <w:numPr>
          <w:ilvl w:val="0"/>
          <w:numId w:val="1"/>
        </w:numPr>
        <w:spacing w:after="0" w:line="240" w:lineRule="auto"/>
        <w:ind w:left="360"/>
      </w:pPr>
      <w:r w:rsidRPr="000D4395">
        <w:t>Name of the College, School, Department, or Unit in which the Center will be housed.</w:t>
      </w:r>
    </w:p>
    <w:p w:rsidR="000A7FA4" w:rsidRPr="000D4395" w:rsidRDefault="009C16B9" w:rsidP="000A7FA4">
      <w:pPr>
        <w:pStyle w:val="Default"/>
        <w:spacing w:after="0" w:line="240" w:lineRule="auto"/>
        <w:ind w:left="720"/>
      </w:pPr>
      <w:r w:rsidRPr="000D4395">
        <w:t>The Institute will report to a</w:t>
      </w:r>
      <w:r w:rsidR="000A7FA4" w:rsidRPr="000D4395">
        <w:t xml:space="preserve"> Dean</w:t>
      </w:r>
      <w:r w:rsidR="00731ADE" w:rsidRPr="000D4395">
        <w:t xml:space="preserve">’s Steering Committee – see number 5 below.  </w:t>
      </w:r>
      <w:r w:rsidR="000A7FA4" w:rsidRPr="000D4395">
        <w:t xml:space="preserve">The physical location of the Institute will be JB Hunt </w:t>
      </w:r>
      <w:r w:rsidR="00F343D7" w:rsidRPr="000D4395">
        <w:t>404</w:t>
      </w:r>
      <w:r w:rsidR="000A7FA4" w:rsidRPr="000D4395">
        <w:t>.</w:t>
      </w:r>
    </w:p>
    <w:p w:rsidR="000A7FA4" w:rsidRPr="000D4395" w:rsidRDefault="000A7FA4" w:rsidP="000A7FA4">
      <w:pPr>
        <w:pStyle w:val="Default"/>
        <w:spacing w:after="0" w:line="240" w:lineRule="auto"/>
      </w:pPr>
    </w:p>
    <w:p w:rsidR="000A5B02" w:rsidRPr="000D4395" w:rsidRDefault="000A5B02" w:rsidP="000A5B02">
      <w:pPr>
        <w:pStyle w:val="Default"/>
        <w:numPr>
          <w:ilvl w:val="0"/>
          <w:numId w:val="1"/>
        </w:numPr>
        <w:spacing w:after="0" w:line="240" w:lineRule="auto"/>
        <w:ind w:left="360"/>
      </w:pPr>
      <w:r w:rsidRPr="000D4395">
        <w:t>Name and title of the person(s) proposing creation of the Center.</w:t>
      </w:r>
    </w:p>
    <w:p w:rsidR="000A7FA4" w:rsidRPr="000D4395" w:rsidRDefault="000A7FA4" w:rsidP="000A7FA4">
      <w:pPr>
        <w:pStyle w:val="Default"/>
        <w:spacing w:after="0" w:line="240" w:lineRule="auto"/>
        <w:ind w:left="720"/>
      </w:pPr>
      <w:r w:rsidRPr="000D4395">
        <w:t>The institute is being proposed by</w:t>
      </w:r>
    </w:p>
    <w:p w:rsidR="000A7FA4" w:rsidRPr="000D4395" w:rsidRDefault="000304B7" w:rsidP="000A7FA4">
      <w:pPr>
        <w:pStyle w:val="Default"/>
        <w:spacing w:after="0" w:line="240" w:lineRule="auto"/>
        <w:ind w:left="720"/>
      </w:pPr>
      <w:r w:rsidRPr="000D4395">
        <w:t>Matt Waller</w:t>
      </w:r>
      <w:r w:rsidR="000A7FA4" w:rsidRPr="000D4395">
        <w:t>, Dean and Sam M. Walton Leadership Chair, Sam M. Walton College of Business</w:t>
      </w:r>
    </w:p>
    <w:p w:rsidR="000A7FA4" w:rsidRPr="000D4395" w:rsidRDefault="000A7FA4" w:rsidP="00F50599">
      <w:pPr>
        <w:pStyle w:val="Default"/>
        <w:spacing w:after="0" w:line="240" w:lineRule="auto"/>
        <w:ind w:left="1080" w:hanging="360"/>
      </w:pPr>
      <w:r w:rsidRPr="000D4395">
        <w:t xml:space="preserve">John English, Dean and Irma F. and Raymond </w:t>
      </w:r>
      <w:r w:rsidR="00487774" w:rsidRPr="000D4395">
        <w:t>F</w:t>
      </w:r>
      <w:r w:rsidRPr="000D4395">
        <w:t>. Giffels Endowed Chair, College of Engineering</w:t>
      </w:r>
    </w:p>
    <w:p w:rsidR="000304B7" w:rsidRPr="000D4395" w:rsidRDefault="000304B7" w:rsidP="00F50599">
      <w:pPr>
        <w:pStyle w:val="Default"/>
        <w:spacing w:after="0" w:line="240" w:lineRule="auto"/>
        <w:ind w:left="1080" w:hanging="360"/>
      </w:pPr>
      <w:r w:rsidRPr="000D4395">
        <w:t xml:space="preserve">Todd Shields, Dean, </w:t>
      </w:r>
      <w:r w:rsidR="00877000" w:rsidRPr="000D4395">
        <w:t>Fulbright College of Arts and Sciences</w:t>
      </w:r>
    </w:p>
    <w:p w:rsidR="00877000" w:rsidRPr="000D4395" w:rsidRDefault="00877000" w:rsidP="00F50599">
      <w:pPr>
        <w:pStyle w:val="Default"/>
        <w:spacing w:after="0" w:line="240" w:lineRule="auto"/>
        <w:ind w:left="1080" w:hanging="360"/>
      </w:pPr>
    </w:p>
    <w:p w:rsidR="00F50599" w:rsidRPr="000D4395" w:rsidRDefault="000A5B02" w:rsidP="000A5B02">
      <w:pPr>
        <w:pStyle w:val="Default"/>
        <w:numPr>
          <w:ilvl w:val="0"/>
          <w:numId w:val="1"/>
        </w:numPr>
        <w:spacing w:after="0" w:line="240" w:lineRule="auto"/>
        <w:ind w:left="360"/>
      </w:pPr>
      <w:r w:rsidRPr="000D4395">
        <w:t xml:space="preserve">The Center type (research, service, </w:t>
      </w:r>
      <w:r w:rsidR="004C6781" w:rsidRPr="000D4395">
        <w:t>or instructional</w:t>
      </w:r>
      <w:r w:rsidRPr="000D4395">
        <w:t>) that is requested.</w:t>
      </w:r>
    </w:p>
    <w:p w:rsidR="00F50599" w:rsidRPr="000D4395" w:rsidRDefault="00F50599" w:rsidP="00F50599">
      <w:pPr>
        <w:pStyle w:val="Default"/>
        <w:spacing w:after="0" w:line="240" w:lineRule="auto"/>
        <w:ind w:left="360"/>
      </w:pPr>
    </w:p>
    <w:p w:rsidR="00F50599" w:rsidRPr="000D4395" w:rsidRDefault="00F50599" w:rsidP="00F50599">
      <w:pPr>
        <w:pStyle w:val="Default"/>
        <w:spacing w:after="0" w:line="240" w:lineRule="auto"/>
        <w:ind w:left="360"/>
      </w:pPr>
      <w:r w:rsidRPr="000D4395">
        <w:t>The focus of the Institute will be research and service.</w:t>
      </w:r>
      <w:r w:rsidR="00244E27" w:rsidRPr="000D4395">
        <w:t xml:space="preserve">  The figure below highlights the vision for the institute with regard to serving the university and its constituents.</w:t>
      </w:r>
    </w:p>
    <w:p w:rsidR="00244E27" w:rsidRDefault="008B040F" w:rsidP="00244E27">
      <w:pPr>
        <w:pStyle w:val="Default"/>
        <w:spacing w:after="0" w:line="240" w:lineRule="auto"/>
        <w:ind w:left="360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8A7FE78" wp14:editId="51426BB9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5943600" cy="3418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B02" w:rsidRDefault="000A5B02" w:rsidP="00F50599">
      <w:pPr>
        <w:pStyle w:val="Default"/>
        <w:spacing w:after="0" w:line="240" w:lineRule="auto"/>
        <w:rPr>
          <w:sz w:val="22"/>
          <w:szCs w:val="22"/>
        </w:rPr>
      </w:pPr>
      <w:r w:rsidRPr="00AC0DE1">
        <w:rPr>
          <w:sz w:val="22"/>
          <w:szCs w:val="22"/>
        </w:rPr>
        <w:t xml:space="preserve"> </w:t>
      </w:r>
    </w:p>
    <w:p w:rsidR="000A5B02" w:rsidRPr="000D4395" w:rsidRDefault="000A5B02" w:rsidP="000D4395">
      <w:pPr>
        <w:pStyle w:val="Default"/>
        <w:numPr>
          <w:ilvl w:val="0"/>
          <w:numId w:val="1"/>
        </w:numPr>
        <w:spacing w:after="0" w:line="240" w:lineRule="auto"/>
      </w:pPr>
      <w:r w:rsidRPr="000D4395">
        <w:t xml:space="preserve">The unique value of the program to the University, and the distinction to any similar programs in Arkansas. </w:t>
      </w:r>
    </w:p>
    <w:p w:rsidR="00F50599" w:rsidRPr="000D4395" w:rsidRDefault="00F50599" w:rsidP="000D4395">
      <w:pPr>
        <w:pStyle w:val="Default"/>
        <w:spacing w:after="0" w:line="240" w:lineRule="auto"/>
        <w:ind w:left="720"/>
      </w:pPr>
    </w:p>
    <w:p w:rsidR="001254E0" w:rsidRPr="000D4395" w:rsidRDefault="001254E0" w:rsidP="000D4395">
      <w:pPr>
        <w:pStyle w:val="Default"/>
        <w:spacing w:after="0" w:line="240" w:lineRule="auto"/>
        <w:ind w:left="720"/>
      </w:pPr>
      <w:r w:rsidRPr="000D4395">
        <w:t xml:space="preserve">The unique value of the Institute focuses on two highly significant value propositions—greatly advancing </w:t>
      </w:r>
      <w:r w:rsidR="00AC47F3" w:rsidRPr="000D4395">
        <w:t xml:space="preserve">the </w:t>
      </w:r>
      <w:r w:rsidRPr="000D4395">
        <w:t xml:space="preserve">statistics and analytics curricula and programs at the University of Arkansas </w:t>
      </w:r>
      <w:r w:rsidR="00AC47F3" w:rsidRPr="000D4395">
        <w:t xml:space="preserve">in support of the universities goal of becoming a top </w:t>
      </w:r>
      <w:r w:rsidR="00F343D7" w:rsidRPr="000D4395">
        <w:t>5</w:t>
      </w:r>
      <w:r w:rsidR="00AC47F3" w:rsidRPr="000D4395">
        <w:t xml:space="preserve">0 public research institution and supporting the growing needs of industry for talent, tools, education, and </w:t>
      </w:r>
      <w:r w:rsidR="00AC47F3" w:rsidRPr="000D4395">
        <w:lastRenderedPageBreak/>
        <w:t xml:space="preserve">solutions in the analytics </w:t>
      </w:r>
      <w:r w:rsidR="00F640BC" w:rsidRPr="000D4395">
        <w:t>space.</w:t>
      </w:r>
      <w:r w:rsidRPr="000D4395">
        <w:t xml:space="preserve">  Based on the success of its SAS endorsed Business Intelligence Certificate programs at both the undergraduate and graduate programs, the UA recently </w:t>
      </w:r>
      <w:r w:rsidR="00387403" w:rsidRPr="000D4395">
        <w:t>implemented its 12 hour graduate credential Business Analytics Certificate program</w:t>
      </w:r>
      <w:r w:rsidR="00387403" w:rsidRPr="000D4395">
        <w:rPr>
          <w:color w:val="auto"/>
        </w:rPr>
        <w:t xml:space="preserve">. </w:t>
      </w:r>
      <w:r w:rsidR="00F640BC" w:rsidRPr="000D4395">
        <w:rPr>
          <w:color w:val="auto"/>
        </w:rPr>
        <w:t>Recently, SAP AG announced its launch of a SAP University Alliances Innovation Lab at the University of Arkansas to research and teach Big Data concepts</w:t>
      </w:r>
      <w:r w:rsidR="00F640BC" w:rsidRPr="000D4395">
        <w:t xml:space="preserve">.  </w:t>
      </w:r>
      <w:r w:rsidR="00387403" w:rsidRPr="000D4395">
        <w:t xml:space="preserve">Moreover, the University of Arkansas has created a campus-wide </w:t>
      </w:r>
      <w:r w:rsidR="00BC0B5E" w:rsidRPr="000D4395">
        <w:t xml:space="preserve">interdisciplinary </w:t>
      </w:r>
      <w:r w:rsidR="00436ABB" w:rsidRPr="000D4395">
        <w:t>S</w:t>
      </w:r>
      <w:r w:rsidR="00387403" w:rsidRPr="000D4395">
        <w:t>tatistics and Analytics degre</w:t>
      </w:r>
      <w:r w:rsidR="00BC0B5E" w:rsidRPr="000D4395">
        <w:t>e program</w:t>
      </w:r>
      <w:r w:rsidR="00DC769A" w:rsidRPr="000D4395">
        <w:t>s</w:t>
      </w:r>
      <w:r w:rsidR="00BC0B5E" w:rsidRPr="000D4395">
        <w:t xml:space="preserve"> consisting of dedicated tracks in </w:t>
      </w:r>
      <w:r w:rsidR="00436ABB" w:rsidRPr="000D4395">
        <w:t xml:space="preserve">statistics, </w:t>
      </w:r>
      <w:r w:rsidR="00BC0B5E" w:rsidRPr="000D4395">
        <w:t>computation analytics, business analytics</w:t>
      </w:r>
      <w:r w:rsidR="00E407B7" w:rsidRPr="000D4395">
        <w:t>, bioanalytics</w:t>
      </w:r>
      <w:r w:rsidR="00DC769A" w:rsidRPr="000D4395">
        <w:t xml:space="preserve">, </w:t>
      </w:r>
      <w:r w:rsidR="00BC0B5E" w:rsidRPr="000D4395">
        <w:t xml:space="preserve">operations analytics, </w:t>
      </w:r>
      <w:r w:rsidR="00436ABB" w:rsidRPr="000D4395">
        <w:t>quantitative social science, and education statistics and psychometrics.</w:t>
      </w:r>
      <w:r w:rsidR="00387403" w:rsidRPr="000D4395">
        <w:t xml:space="preserve">  The Institute will be exceptionally</w:t>
      </w:r>
      <w:r w:rsidR="00BC0B5E" w:rsidRPr="000D4395">
        <w:t xml:space="preserve"> helpful in support of the UA </w:t>
      </w:r>
      <w:r w:rsidR="00436ABB" w:rsidRPr="000D4395">
        <w:t>statistics</w:t>
      </w:r>
      <w:r w:rsidR="00387403" w:rsidRPr="000D4395">
        <w:t xml:space="preserve"> and analytics curricula focus.</w:t>
      </w:r>
      <w:r w:rsidR="00DC769A" w:rsidRPr="000D4395">
        <w:t xml:space="preserve">  Recognizing the critical need for analytics</w:t>
      </w:r>
      <w:r w:rsidR="00E407B7" w:rsidRPr="000D4395">
        <w:t xml:space="preserve"> in curricula, the UA has hired and p</w:t>
      </w:r>
      <w:r w:rsidR="00875867" w:rsidRPr="000D4395">
        <w:t>lans to hire several faculty in the area of</w:t>
      </w:r>
      <w:r w:rsidR="00E407B7" w:rsidRPr="000D4395">
        <w:t xml:space="preserve"> analytics.  The W</w:t>
      </w:r>
      <w:r w:rsidR="00875867" w:rsidRPr="000D4395">
        <w:t xml:space="preserve">alton </w:t>
      </w:r>
      <w:r w:rsidR="00E407B7" w:rsidRPr="000D4395">
        <w:t>C</w:t>
      </w:r>
      <w:r w:rsidR="00875867" w:rsidRPr="000D4395">
        <w:t xml:space="preserve">ollege of </w:t>
      </w:r>
      <w:r w:rsidR="00E407B7" w:rsidRPr="000D4395">
        <w:t>B</w:t>
      </w:r>
      <w:r w:rsidR="00875867" w:rsidRPr="000D4395">
        <w:t>usiness</w:t>
      </w:r>
      <w:r w:rsidR="00E407B7" w:rsidRPr="000D4395">
        <w:t xml:space="preserve"> has hired one clinic</w:t>
      </w:r>
      <w:r w:rsidR="00875867" w:rsidRPr="000D4395">
        <w:t>al and plans to hire another clinical faculty member</w:t>
      </w:r>
      <w:r w:rsidR="00E407B7" w:rsidRPr="000D4395">
        <w:t xml:space="preserve"> this year</w:t>
      </w:r>
      <w:r w:rsidR="00875867" w:rsidRPr="000D4395">
        <w:t xml:space="preserve"> to support the analytics curriculum</w:t>
      </w:r>
      <w:r w:rsidR="00E407B7" w:rsidRPr="000D4395">
        <w:t>; the College of Engineering has plans to hire</w:t>
      </w:r>
      <w:r w:rsidR="00875867" w:rsidRPr="000D4395">
        <w:t xml:space="preserve"> three research  faculty in this area,</w:t>
      </w:r>
      <w:r w:rsidR="00E407B7" w:rsidRPr="000D4395">
        <w:t xml:space="preserve"> </w:t>
      </w:r>
      <w:r w:rsidR="00875867" w:rsidRPr="000D4395">
        <w:t xml:space="preserve">one </w:t>
      </w:r>
      <w:r w:rsidR="00FD25FC" w:rsidRPr="000D4395">
        <w:t xml:space="preserve">Endowed Chair </w:t>
      </w:r>
      <w:r w:rsidR="00875867" w:rsidRPr="000D4395">
        <w:t>Professor and</w:t>
      </w:r>
      <w:r w:rsidR="00FD25FC" w:rsidRPr="000D4395">
        <w:t xml:space="preserve"> one junior</w:t>
      </w:r>
      <w:r w:rsidR="00875867" w:rsidRPr="000D4395">
        <w:t xml:space="preserve"> </w:t>
      </w:r>
      <w:r w:rsidR="00FD25FC" w:rsidRPr="000D4395">
        <w:t xml:space="preserve">faculty member </w:t>
      </w:r>
      <w:r w:rsidR="00875867" w:rsidRPr="000D4395">
        <w:t xml:space="preserve">in Industrial Engineering and another Professor in the Computer Science and Computer Engineering Department; </w:t>
      </w:r>
      <w:r w:rsidR="00E407B7" w:rsidRPr="000D4395">
        <w:t xml:space="preserve">the Department of </w:t>
      </w:r>
      <w:r w:rsidR="00215D70" w:rsidRPr="000D4395">
        <w:rPr>
          <w:color w:val="auto"/>
        </w:rPr>
        <w:t>Mathematical Sciences</w:t>
      </w:r>
      <w:r w:rsidR="00215D70" w:rsidRPr="000D4395">
        <w:t xml:space="preserve"> </w:t>
      </w:r>
      <w:r w:rsidR="00875867" w:rsidRPr="000D4395">
        <w:t xml:space="preserve">in the Fulbright College has recently hired several statisticians and has </w:t>
      </w:r>
      <w:r w:rsidR="00E407B7" w:rsidRPr="000D4395">
        <w:t xml:space="preserve"> plans to hire </w:t>
      </w:r>
      <w:r w:rsidR="00875867" w:rsidRPr="000D4395">
        <w:t>two additional statistics faculty who can support the Advanced Data Analytics Institute.</w:t>
      </w:r>
    </w:p>
    <w:p w:rsidR="00387403" w:rsidRPr="000D4395" w:rsidRDefault="00387403" w:rsidP="00F50599">
      <w:pPr>
        <w:pStyle w:val="Default"/>
        <w:spacing w:after="0" w:line="240" w:lineRule="auto"/>
        <w:ind w:left="360"/>
      </w:pPr>
    </w:p>
    <w:p w:rsidR="00F5094C" w:rsidRPr="000D4395" w:rsidRDefault="00715F9F" w:rsidP="00F5094C">
      <w:pPr>
        <w:pStyle w:val="Default"/>
        <w:spacing w:after="0" w:line="240" w:lineRule="auto"/>
        <w:ind w:left="360"/>
      </w:pPr>
      <w:r w:rsidRPr="000D4395">
        <w:t xml:space="preserve">A </w:t>
      </w:r>
      <w:r w:rsidR="00F5094C" w:rsidRPr="000D4395">
        <w:t xml:space="preserve">2013 </w:t>
      </w:r>
      <w:r w:rsidRPr="000D4395">
        <w:t xml:space="preserve">survey </w:t>
      </w:r>
      <w:r w:rsidR="00F5094C" w:rsidRPr="000D4395">
        <w:t>of Fortune 1000 C-Suite E</w:t>
      </w:r>
      <w:r w:rsidRPr="000D4395">
        <w:t xml:space="preserve">xecutives conducted by New Vantage Partners </w:t>
      </w:r>
      <w:r w:rsidR="00F5094C" w:rsidRPr="000D4395">
        <w:t>indicated that 91% of these companies have big data initiatives planned or in progress.</w:t>
      </w:r>
      <w:r w:rsidR="00F5094C" w:rsidRPr="000D4395">
        <w:rPr>
          <w:vertAlign w:val="superscript"/>
        </w:rPr>
        <w:t>1</w:t>
      </w:r>
      <w:r w:rsidR="00F5094C" w:rsidRPr="000D4395">
        <w:t xml:space="preserve">   </w:t>
      </w:r>
      <w:r w:rsidR="00F640BC" w:rsidRPr="000D4395">
        <w:t>Many</w:t>
      </w:r>
      <w:r w:rsidR="00F5094C" w:rsidRPr="000D4395">
        <w:t xml:space="preserve"> of these initiatives focus on volume, variety and analytical velocity of data.  The focus is on integrating the large volume of structured and unstructured data from a growing number of new sources.  </w:t>
      </w:r>
      <w:r w:rsidR="00BD75A8" w:rsidRPr="000D4395">
        <w:t>By 2020 it is estimated that th</w:t>
      </w:r>
      <w:r w:rsidR="00F5094C" w:rsidRPr="000D4395">
        <w:t>e internet of things</w:t>
      </w:r>
      <w:r w:rsidR="00BD75A8" w:rsidRPr="000D4395">
        <w:t xml:space="preserve"> will hit 26 billion units which present unique data issues.</w:t>
      </w:r>
      <w:r w:rsidR="004314AF" w:rsidRPr="000D4395">
        <w:rPr>
          <w:vertAlign w:val="superscript"/>
        </w:rPr>
        <w:t>2</w:t>
      </w:r>
      <w:r w:rsidR="00BD75A8" w:rsidRPr="000D4395">
        <w:t xml:space="preserve">  As the volume and variety of data increase industry must find ways to accelerate the speed at which this information can be used to support their critical business decisions.</w:t>
      </w:r>
    </w:p>
    <w:p w:rsidR="00BD75A8" w:rsidRPr="000D4395" w:rsidRDefault="00BD75A8" w:rsidP="00F50599">
      <w:pPr>
        <w:pStyle w:val="Default"/>
        <w:spacing w:after="0" w:line="240" w:lineRule="auto"/>
        <w:ind w:left="360"/>
      </w:pPr>
    </w:p>
    <w:p w:rsidR="00F640BC" w:rsidRPr="000D4395" w:rsidRDefault="00BD75A8" w:rsidP="00F640BC">
      <w:pPr>
        <w:pStyle w:val="Default"/>
        <w:spacing w:after="0" w:line="240" w:lineRule="auto"/>
        <w:ind w:left="360"/>
      </w:pPr>
      <w:r w:rsidRPr="000D4395">
        <w:t>The University of Arkansas in Fayetteville is uniquely positioned to p</w:t>
      </w:r>
      <w:r w:rsidR="00387403" w:rsidRPr="000D4395">
        <w:t>artner with industry on statistics and analytics given the</w:t>
      </w:r>
      <w:r w:rsidRPr="000D4395">
        <w:t xml:space="preserve">ir strong existing ties to </w:t>
      </w:r>
      <w:r w:rsidR="00C76AA5" w:rsidRPr="000D4395">
        <w:t>F</w:t>
      </w:r>
      <w:r w:rsidRPr="000D4395">
        <w:t>ortune 500 companies</w:t>
      </w:r>
      <w:r w:rsidR="00387403" w:rsidRPr="000D4395">
        <w:t xml:space="preserve"> in Northwest Arkansas.  JB Hunt, Tyson and Walmart are heavily data driven companies and the UA has had many long standing partnerships with th</w:t>
      </w:r>
      <w:r w:rsidR="00EB1BE4" w:rsidRPr="000D4395">
        <w:t>em.  Further, a disproportionality large number of vendors working with Walmart have a physical presence in NW Arkansas. Vendors such as Colgate, Kello</w:t>
      </w:r>
      <w:r w:rsidRPr="000D4395">
        <w:t>gg’s and Procter and Gamble, to</w:t>
      </w:r>
      <w:r w:rsidR="00EB1BE4" w:rsidRPr="000D4395">
        <w:t xml:space="preserve"> name a few, are leaders in </w:t>
      </w:r>
      <w:r w:rsidRPr="000D4395">
        <w:t>the data and a</w:t>
      </w:r>
      <w:r w:rsidR="00EB1BE4" w:rsidRPr="000D4395">
        <w:t>nalytics</w:t>
      </w:r>
      <w:r w:rsidRPr="000D4395">
        <w:t xml:space="preserve"> space</w:t>
      </w:r>
      <w:r w:rsidR="00EB1BE4" w:rsidRPr="000D4395">
        <w:t>.  Even though all these are leaders in analytics, large opportunities in analytics still remain.  The Institute will be the bridge to address their many issues and problems</w:t>
      </w:r>
      <w:r w:rsidR="00CF7B27" w:rsidRPr="000D4395">
        <w:t xml:space="preserve"> and be the source for continuing education and talent as they continue to grow their analytic capabilities.</w:t>
      </w:r>
    </w:p>
    <w:p w:rsidR="003E698F" w:rsidRPr="000D4395" w:rsidRDefault="003E698F" w:rsidP="00F640BC">
      <w:pPr>
        <w:pStyle w:val="Default"/>
        <w:spacing w:after="0" w:line="240" w:lineRule="auto"/>
        <w:ind w:left="360"/>
      </w:pPr>
    </w:p>
    <w:p w:rsidR="003E698F" w:rsidRPr="000D4395" w:rsidRDefault="003E698F" w:rsidP="00F640BC">
      <w:pPr>
        <w:pStyle w:val="Default"/>
        <w:spacing w:after="0" w:line="240" w:lineRule="auto"/>
        <w:ind w:left="360"/>
        <w:rPr>
          <w:color w:val="auto"/>
        </w:rPr>
      </w:pPr>
      <w:r w:rsidRPr="000D4395">
        <w:t xml:space="preserve">The UA has and continues to acquire some impressive hardware/software and data to support analytics.  These include high performance computing, </w:t>
      </w:r>
      <w:r w:rsidR="00875867" w:rsidRPr="000D4395">
        <w:t>an IBM z10, to be upgraded</w:t>
      </w:r>
      <w:r w:rsidR="00850824" w:rsidRPr="000D4395">
        <w:t xml:space="preserve"> soon to support high volume transactions and analytics applications, SAP, SAS Visual Analytics and Teradata.  </w:t>
      </w:r>
      <w:r w:rsidR="00875867" w:rsidRPr="000D4395">
        <w:rPr>
          <w:color w:val="auto"/>
        </w:rPr>
        <w:t>Large d</w:t>
      </w:r>
      <w:r w:rsidR="00850824" w:rsidRPr="000D4395">
        <w:rPr>
          <w:color w:val="auto"/>
        </w:rPr>
        <w:t>ata sets include Acxiom demographics</w:t>
      </w:r>
      <w:r w:rsidR="00875867" w:rsidRPr="000D4395">
        <w:rPr>
          <w:color w:val="auto"/>
        </w:rPr>
        <w:t xml:space="preserve"> data</w:t>
      </w:r>
      <w:r w:rsidR="00850824" w:rsidRPr="000D4395">
        <w:rPr>
          <w:color w:val="auto"/>
        </w:rPr>
        <w:t>, Dillard’s and Sam’s Club</w:t>
      </w:r>
      <w:r w:rsidR="00875867" w:rsidRPr="000D4395">
        <w:rPr>
          <w:color w:val="auto"/>
        </w:rPr>
        <w:t xml:space="preserve"> retail transaction data</w:t>
      </w:r>
      <w:r w:rsidR="00850824" w:rsidRPr="000D4395">
        <w:rPr>
          <w:color w:val="auto"/>
        </w:rPr>
        <w:t xml:space="preserve">.   </w:t>
      </w:r>
    </w:p>
    <w:p w:rsidR="00EB1BE4" w:rsidRPr="000D4395" w:rsidRDefault="00EB1BE4" w:rsidP="00F50599">
      <w:pPr>
        <w:pStyle w:val="Default"/>
        <w:spacing w:after="0" w:line="240" w:lineRule="auto"/>
        <w:ind w:left="360"/>
      </w:pPr>
    </w:p>
    <w:p w:rsidR="00387403" w:rsidRPr="000D4395" w:rsidRDefault="00EB1BE4" w:rsidP="00F50599">
      <w:pPr>
        <w:pStyle w:val="Default"/>
        <w:spacing w:after="0" w:line="240" w:lineRule="auto"/>
        <w:ind w:left="360"/>
        <w:rPr>
          <w:color w:val="auto"/>
        </w:rPr>
      </w:pPr>
      <w:r w:rsidRPr="000D4395">
        <w:lastRenderedPageBreak/>
        <w:t xml:space="preserve">Based on the above, the Institute will be complementary to the UALR Emerging </w:t>
      </w:r>
      <w:r w:rsidR="00875867" w:rsidRPr="000D4395">
        <w:t xml:space="preserve">Visual </w:t>
      </w:r>
      <w:r w:rsidRPr="000D4395">
        <w:t xml:space="preserve">Analytics Center. </w:t>
      </w:r>
    </w:p>
    <w:p w:rsidR="004314AF" w:rsidRPr="000D4395" w:rsidRDefault="004314AF" w:rsidP="00F50599">
      <w:pPr>
        <w:pStyle w:val="Default"/>
        <w:spacing w:after="0" w:line="240" w:lineRule="auto"/>
        <w:ind w:left="360"/>
      </w:pPr>
    </w:p>
    <w:p w:rsidR="00BF72C9" w:rsidRPr="000D4395" w:rsidRDefault="0045760C" w:rsidP="000D4395">
      <w:pPr>
        <w:pStyle w:val="Default"/>
        <w:numPr>
          <w:ilvl w:val="0"/>
          <w:numId w:val="10"/>
        </w:numPr>
        <w:spacing w:after="0" w:line="240" w:lineRule="auto"/>
      </w:pPr>
      <w:hyperlink r:id="rId9" w:history="1">
        <w:r w:rsidR="004314AF" w:rsidRPr="000D4395">
          <w:rPr>
            <w:rStyle w:val="Hyperlink"/>
          </w:rPr>
          <w:t>http://newvantage.com/wp-content/uploads/2013/09/Big-Data-Survey-2013-Executive-Summary.pdf</w:t>
        </w:r>
      </w:hyperlink>
    </w:p>
    <w:p w:rsidR="004314AF" w:rsidRDefault="0045760C" w:rsidP="000D4395">
      <w:pPr>
        <w:pStyle w:val="Default"/>
        <w:numPr>
          <w:ilvl w:val="0"/>
          <w:numId w:val="10"/>
        </w:numPr>
        <w:spacing w:after="0" w:line="240" w:lineRule="auto"/>
      </w:pPr>
      <w:hyperlink r:id="rId10" w:history="1">
        <w:r w:rsidR="004314AF" w:rsidRPr="000D4395">
          <w:rPr>
            <w:rStyle w:val="Hyperlink"/>
          </w:rPr>
          <w:t>http://www.gartner.com/newsroom/id/2684616</w:t>
        </w:r>
      </w:hyperlink>
      <w:r w:rsidR="004314AF" w:rsidRPr="000D4395">
        <w:t xml:space="preserve"> </w:t>
      </w:r>
    </w:p>
    <w:p w:rsidR="000D4395" w:rsidRDefault="000D4395" w:rsidP="000D4395">
      <w:pPr>
        <w:pStyle w:val="Default"/>
        <w:spacing w:after="0" w:line="240" w:lineRule="auto"/>
      </w:pPr>
    </w:p>
    <w:p w:rsidR="000A5B02" w:rsidRPr="000D4395" w:rsidRDefault="000A5B02" w:rsidP="000A5B02">
      <w:pPr>
        <w:pStyle w:val="Default"/>
        <w:numPr>
          <w:ilvl w:val="0"/>
          <w:numId w:val="1"/>
        </w:numPr>
        <w:spacing w:after="0" w:line="240" w:lineRule="auto"/>
        <w:ind w:left="360"/>
      </w:pPr>
      <w:r w:rsidRPr="000D4395">
        <w:t xml:space="preserve">Information on the Director position and the organizational structure. </w:t>
      </w:r>
    </w:p>
    <w:p w:rsidR="00866AFC" w:rsidRPr="000D4395" w:rsidRDefault="00866AFC" w:rsidP="00866AFC">
      <w:pPr>
        <w:pStyle w:val="ListParagraph"/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  <w:r w:rsidRPr="000D4395">
        <w:rPr>
          <w:rFonts w:ascii="Times New Roman" w:hAnsi="Times New Roman" w:cs="Times New Roman"/>
          <w:sz w:val="24"/>
          <w:szCs w:val="24"/>
        </w:rPr>
        <w:t>Dr. David E. Douglas, Co-Director and University Professor, Information Systems, Sam M. Walton College of Business</w:t>
      </w:r>
    </w:p>
    <w:p w:rsidR="00866AFC" w:rsidRPr="000D4395" w:rsidRDefault="00866AFC" w:rsidP="00866AFC">
      <w:pPr>
        <w:pStyle w:val="ListParagraph"/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66AFC" w:rsidRPr="000D4395" w:rsidRDefault="00866AFC" w:rsidP="00866AFC">
      <w:pPr>
        <w:pStyle w:val="ListParagraph"/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  <w:r w:rsidRPr="000D4395">
        <w:rPr>
          <w:rFonts w:ascii="Times New Roman" w:hAnsi="Times New Roman" w:cs="Times New Roman"/>
          <w:sz w:val="24"/>
          <w:szCs w:val="24"/>
        </w:rPr>
        <w:t>Dr. Edward A. Pohl, Co-</w:t>
      </w:r>
      <w:r w:rsidR="001F2C13" w:rsidRPr="000D4395">
        <w:rPr>
          <w:rFonts w:ascii="Times New Roman" w:hAnsi="Times New Roman" w:cs="Times New Roman"/>
          <w:sz w:val="24"/>
          <w:szCs w:val="24"/>
        </w:rPr>
        <w:t xml:space="preserve">Director, Professor and </w:t>
      </w:r>
      <w:r w:rsidRPr="000D4395">
        <w:rPr>
          <w:rFonts w:ascii="Times New Roman" w:hAnsi="Times New Roman" w:cs="Times New Roman"/>
          <w:sz w:val="24"/>
          <w:szCs w:val="24"/>
        </w:rPr>
        <w:t>Department Head, Industrial Engineering, College of Engineering</w:t>
      </w:r>
    </w:p>
    <w:p w:rsidR="00EC33B8" w:rsidRPr="000D4395" w:rsidRDefault="00EC33B8" w:rsidP="00866AFC">
      <w:pPr>
        <w:pStyle w:val="ListParagraph"/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66AFC" w:rsidRPr="000D4395" w:rsidRDefault="00EC33B8" w:rsidP="007A5ADD">
      <w:pPr>
        <w:pStyle w:val="ListParagraph"/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  <w:r w:rsidRPr="000D4395">
        <w:rPr>
          <w:rFonts w:ascii="Times New Roman" w:hAnsi="Times New Roman" w:cs="Times New Roman"/>
          <w:sz w:val="24"/>
          <w:szCs w:val="24"/>
        </w:rPr>
        <w:t>Dr. Mark Arnold, Co-Director, Associate Professor, Department of Mathematical Sciences, Director STAN</w:t>
      </w:r>
    </w:p>
    <w:p w:rsidR="007A5ADD" w:rsidRPr="000D4395" w:rsidRDefault="007A5ADD" w:rsidP="007A5ADD">
      <w:pPr>
        <w:pStyle w:val="ListParagraph"/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D5A18" w:rsidRDefault="007A5ADD" w:rsidP="00866AFC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3526EA7" wp14:editId="6C6BE81D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5943600" cy="34728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ADD" w:rsidRDefault="007A5ADD" w:rsidP="00741FE0">
      <w:pPr>
        <w:pStyle w:val="Default"/>
        <w:spacing w:after="0" w:line="240" w:lineRule="auto"/>
        <w:ind w:left="360"/>
        <w:rPr>
          <w:sz w:val="22"/>
          <w:szCs w:val="22"/>
        </w:rPr>
      </w:pPr>
    </w:p>
    <w:p w:rsidR="001A6C11" w:rsidRPr="000D4395" w:rsidRDefault="000A5B02" w:rsidP="000A5B02">
      <w:pPr>
        <w:pStyle w:val="Default"/>
        <w:numPr>
          <w:ilvl w:val="0"/>
          <w:numId w:val="1"/>
        </w:numPr>
        <w:spacing w:after="0" w:line="240" w:lineRule="auto"/>
        <w:ind w:left="360"/>
      </w:pPr>
      <w:r w:rsidRPr="000D4395">
        <w:t>Identification of faculty (or qualifications of type of faculty), other personnel, and academic units that will be involved with the Center.</w:t>
      </w:r>
    </w:p>
    <w:p w:rsidR="001A6C11" w:rsidRPr="000D4395" w:rsidRDefault="001A6C11" w:rsidP="001A6C11">
      <w:pPr>
        <w:pStyle w:val="Default"/>
        <w:spacing w:after="0" w:line="240" w:lineRule="auto"/>
        <w:ind w:left="360"/>
      </w:pPr>
    </w:p>
    <w:p w:rsidR="00A5284B" w:rsidRPr="000D4395" w:rsidRDefault="001A6C11" w:rsidP="001A6C11">
      <w:pPr>
        <w:pStyle w:val="Default"/>
        <w:spacing w:after="0" w:line="240" w:lineRule="auto"/>
        <w:ind w:left="360"/>
        <w:rPr>
          <w:color w:val="auto"/>
        </w:rPr>
      </w:pPr>
      <w:r w:rsidRPr="000D4395">
        <w:t xml:space="preserve">The Institute is designed to be inclusive in terms of involvement by faculty </w:t>
      </w:r>
      <w:r w:rsidR="00CF7B27" w:rsidRPr="000D4395">
        <w:t>across the university that has</w:t>
      </w:r>
      <w:r w:rsidRPr="000D4395">
        <w:t xml:space="preserve"> interest in analytics and analytics projects.  </w:t>
      </w:r>
      <w:r w:rsidR="00CF7B27" w:rsidRPr="000D4395">
        <w:t>Requests for research are</w:t>
      </w:r>
      <w:r w:rsidRPr="000D4395">
        <w:t xml:space="preserve"> anticipated to be varied and require knowledge and skills from various disciplines.</w:t>
      </w:r>
      <w:r w:rsidR="00CF7B27" w:rsidRPr="000D4395">
        <w:t xml:space="preserve"> As a minimum, the institute will include faculty and students associated with the interdisciplinary program in statistics and analytics. Extensive i</w:t>
      </w:r>
      <w:r w:rsidR="00A5284B" w:rsidRPr="000D4395">
        <w:t>nvolvement is expected from WCOB</w:t>
      </w:r>
      <w:r w:rsidR="007E6311" w:rsidRPr="000D4395">
        <w:t xml:space="preserve">, Fulbright </w:t>
      </w:r>
      <w:r w:rsidR="00A5284B" w:rsidRPr="000D4395">
        <w:t>and Engineering faculty.</w:t>
      </w:r>
      <w:r w:rsidR="00215D70" w:rsidRPr="000D4395">
        <w:t xml:space="preserve">  </w:t>
      </w:r>
      <w:r w:rsidR="00215D70" w:rsidRPr="000D4395">
        <w:rPr>
          <w:color w:val="auto"/>
        </w:rPr>
        <w:t xml:space="preserve">We currently have over 50 university faculty affiliated </w:t>
      </w:r>
      <w:r w:rsidR="00215D70" w:rsidRPr="000D4395">
        <w:rPr>
          <w:color w:val="auto"/>
        </w:rPr>
        <w:lastRenderedPageBreak/>
        <w:t>with the STAN program.</w:t>
      </w:r>
    </w:p>
    <w:p w:rsidR="001A6C11" w:rsidRPr="000D4395" w:rsidRDefault="001A6C11" w:rsidP="001A6C11">
      <w:pPr>
        <w:pStyle w:val="Default"/>
        <w:spacing w:after="0" w:line="240" w:lineRule="auto"/>
        <w:ind w:left="360"/>
        <w:rPr>
          <w:color w:val="auto"/>
        </w:rPr>
      </w:pPr>
    </w:p>
    <w:p w:rsidR="000A5B02" w:rsidRPr="000D4395" w:rsidRDefault="000A5B02" w:rsidP="000A5B02">
      <w:pPr>
        <w:pStyle w:val="Default"/>
        <w:numPr>
          <w:ilvl w:val="0"/>
          <w:numId w:val="1"/>
        </w:numPr>
        <w:spacing w:after="0" w:line="240" w:lineRule="auto"/>
        <w:ind w:left="360"/>
      </w:pPr>
      <w:r w:rsidRPr="000D4395">
        <w:t xml:space="preserve">Student involvement, if any. </w:t>
      </w:r>
    </w:p>
    <w:p w:rsidR="001A6C11" w:rsidRPr="000D4395" w:rsidRDefault="001A6C11" w:rsidP="001A6C11">
      <w:pPr>
        <w:pStyle w:val="Default"/>
        <w:spacing w:after="0" w:line="240" w:lineRule="auto"/>
        <w:ind w:left="360"/>
      </w:pPr>
    </w:p>
    <w:p w:rsidR="001A6C11" w:rsidRPr="000D4395" w:rsidRDefault="00CF7B27" w:rsidP="001A6C11">
      <w:pPr>
        <w:pStyle w:val="Default"/>
        <w:spacing w:after="0" w:line="240" w:lineRule="auto"/>
        <w:ind w:left="360"/>
      </w:pPr>
      <w:r w:rsidRPr="000D4395">
        <w:t>Institute projects will include students at</w:t>
      </w:r>
      <w:r w:rsidR="001A6C11" w:rsidRPr="000D4395">
        <w:t xml:space="preserve"> all levels from undergraduate</w:t>
      </w:r>
      <w:r w:rsidRPr="000D4395">
        <w:t xml:space="preserve">s, honors students, masters </w:t>
      </w:r>
      <w:r w:rsidR="00F640BC" w:rsidRPr="000D4395">
        <w:t>and doctoral</w:t>
      </w:r>
      <w:r w:rsidR="001A6C11" w:rsidRPr="000D4395">
        <w:t xml:space="preserve"> students.  M</w:t>
      </w:r>
      <w:r w:rsidRPr="000D4395">
        <w:t xml:space="preserve">oreover, the Institute will support a minimum of </w:t>
      </w:r>
      <w:r w:rsidR="001D64A5" w:rsidRPr="000D4395">
        <w:t>four</w:t>
      </w:r>
      <w:r w:rsidRPr="000D4395">
        <w:t xml:space="preserve"> graduate assistants at all times to support ongoing projects and assist in the development of new institute proposals.</w:t>
      </w:r>
    </w:p>
    <w:p w:rsidR="001A6C11" w:rsidRPr="000D4395" w:rsidRDefault="001A6C11" w:rsidP="001A6C11">
      <w:pPr>
        <w:pStyle w:val="Default"/>
        <w:spacing w:after="0" w:line="240" w:lineRule="auto"/>
        <w:ind w:left="360"/>
      </w:pPr>
    </w:p>
    <w:p w:rsidR="000A5B02" w:rsidRPr="000D4395" w:rsidRDefault="000A5B02" w:rsidP="000A5B02">
      <w:pPr>
        <w:pStyle w:val="Default"/>
        <w:numPr>
          <w:ilvl w:val="0"/>
          <w:numId w:val="1"/>
        </w:numPr>
        <w:spacing w:after="0" w:line="240" w:lineRule="auto"/>
        <w:ind w:left="360"/>
      </w:pPr>
      <w:r w:rsidRPr="000D4395">
        <w:t>Annual budget for the Unit or the estimated expenditures per year.</w:t>
      </w:r>
      <w:r w:rsidR="00A5284B" w:rsidRPr="000D4395">
        <w:t xml:space="preserve"> (Estimate)</w:t>
      </w:r>
    </w:p>
    <w:p w:rsidR="000D6B79" w:rsidRPr="000D4395" w:rsidRDefault="000D6B79" w:rsidP="00A5284B">
      <w:pPr>
        <w:pStyle w:val="Default"/>
        <w:spacing w:after="0" w:line="240" w:lineRule="auto"/>
        <w:ind w:left="720"/>
      </w:pPr>
    </w:p>
    <w:p w:rsidR="000A5B02" w:rsidRPr="000D4395" w:rsidRDefault="000A5B02" w:rsidP="000A5B02">
      <w:pPr>
        <w:pStyle w:val="Default"/>
        <w:numPr>
          <w:ilvl w:val="0"/>
          <w:numId w:val="1"/>
        </w:numPr>
        <w:spacing w:after="0" w:line="240" w:lineRule="auto"/>
        <w:ind w:left="360"/>
      </w:pPr>
      <w:r w:rsidRPr="000D4395">
        <w:t>Estimated fiscal resources and potential sources of funding (e.g., state, private, endowment, grant, contract, or other).</w:t>
      </w:r>
    </w:p>
    <w:p w:rsidR="0080261A" w:rsidRPr="000D4395" w:rsidRDefault="0080261A" w:rsidP="00A16F35">
      <w:pPr>
        <w:pStyle w:val="Default"/>
        <w:spacing w:after="0" w:line="240" w:lineRule="auto"/>
        <w:ind w:left="360"/>
      </w:pPr>
    </w:p>
    <w:p w:rsidR="00E15157" w:rsidRPr="000D4395" w:rsidRDefault="00E15157" w:rsidP="00E15157">
      <w:pPr>
        <w:pStyle w:val="Default"/>
        <w:spacing w:after="0" w:line="240" w:lineRule="auto"/>
      </w:pPr>
    </w:p>
    <w:p w:rsidR="000A5B02" w:rsidRPr="000D4395" w:rsidRDefault="000A5B02" w:rsidP="000A5B02">
      <w:pPr>
        <w:pStyle w:val="Default"/>
        <w:numPr>
          <w:ilvl w:val="0"/>
          <w:numId w:val="1"/>
        </w:numPr>
        <w:spacing w:after="0" w:line="240" w:lineRule="auto"/>
        <w:ind w:left="360"/>
      </w:pPr>
      <w:r w:rsidRPr="000D4395">
        <w:t xml:space="preserve">Space and equipment needs of the Center and a description of how they will be met. </w:t>
      </w:r>
    </w:p>
    <w:p w:rsidR="00E15157" w:rsidRPr="000D4395" w:rsidRDefault="00E15157" w:rsidP="00E15157">
      <w:pPr>
        <w:pStyle w:val="Default"/>
        <w:spacing w:after="0" w:line="240" w:lineRule="auto"/>
        <w:ind w:left="360"/>
      </w:pPr>
    </w:p>
    <w:p w:rsidR="00E15157" w:rsidRPr="000D4395" w:rsidRDefault="0080261A" w:rsidP="00E15157">
      <w:pPr>
        <w:pStyle w:val="Default"/>
        <w:spacing w:after="0" w:line="240" w:lineRule="auto"/>
        <w:ind w:left="360"/>
      </w:pPr>
      <w:r w:rsidRPr="000D4395">
        <w:t xml:space="preserve">Space:  </w:t>
      </w:r>
      <w:r w:rsidR="00E15157" w:rsidRPr="000D4395">
        <w:t>JB Hunt 404</w:t>
      </w:r>
    </w:p>
    <w:p w:rsidR="0080261A" w:rsidRPr="000D4395" w:rsidRDefault="0080261A" w:rsidP="00E15157">
      <w:pPr>
        <w:pStyle w:val="Default"/>
        <w:spacing w:after="0" w:line="240" w:lineRule="auto"/>
        <w:ind w:left="360"/>
      </w:pPr>
      <w:r w:rsidRPr="000D4395">
        <w:t>Equipment:  one time setup expense of computer, software, office equipment estimated to be $10,000</w:t>
      </w:r>
    </w:p>
    <w:p w:rsidR="00E15157" w:rsidRPr="000D4395" w:rsidRDefault="00E15157" w:rsidP="00E15157">
      <w:pPr>
        <w:pStyle w:val="Default"/>
        <w:spacing w:after="0" w:line="240" w:lineRule="auto"/>
        <w:ind w:left="360"/>
      </w:pPr>
    </w:p>
    <w:p w:rsidR="000A5B02" w:rsidRPr="000D4395" w:rsidRDefault="000A5B02" w:rsidP="000A5B02">
      <w:pPr>
        <w:pStyle w:val="Default"/>
        <w:numPr>
          <w:ilvl w:val="0"/>
          <w:numId w:val="1"/>
        </w:numPr>
        <w:spacing w:after="0" w:line="240" w:lineRule="auto"/>
        <w:ind w:left="360"/>
      </w:pPr>
      <w:r w:rsidRPr="000D4395">
        <w:t xml:space="preserve">Description of administrative control and lines of authority for the Center. </w:t>
      </w:r>
    </w:p>
    <w:p w:rsidR="006E0626" w:rsidRPr="000D4395" w:rsidRDefault="006E0626" w:rsidP="006E0626">
      <w:pPr>
        <w:pStyle w:val="Default"/>
        <w:spacing w:after="0" w:line="240" w:lineRule="auto"/>
      </w:pPr>
    </w:p>
    <w:p w:rsidR="006E0626" w:rsidRPr="000D4395" w:rsidRDefault="006E0626" w:rsidP="006E0626">
      <w:pPr>
        <w:pStyle w:val="Default"/>
        <w:spacing w:after="0" w:line="240" w:lineRule="auto"/>
        <w:ind w:left="360"/>
      </w:pPr>
      <w:r w:rsidRPr="000D4395">
        <w:t>See 5 above</w:t>
      </w:r>
    </w:p>
    <w:p w:rsidR="00E15157" w:rsidRPr="000D4395" w:rsidRDefault="00E15157" w:rsidP="00E15157">
      <w:pPr>
        <w:pStyle w:val="Default"/>
        <w:spacing w:after="0" w:line="240" w:lineRule="auto"/>
      </w:pPr>
    </w:p>
    <w:p w:rsidR="000A5B02" w:rsidRPr="000D4395" w:rsidRDefault="000A5B02" w:rsidP="000A5B02">
      <w:pPr>
        <w:pStyle w:val="Default"/>
        <w:numPr>
          <w:ilvl w:val="0"/>
          <w:numId w:val="1"/>
        </w:numPr>
        <w:spacing w:after="0" w:line="240" w:lineRule="auto"/>
        <w:ind w:left="360"/>
      </w:pPr>
      <w:r w:rsidRPr="000D4395">
        <w:t>Description of the advisory board including its size, the method of its selection, and length of terms.</w:t>
      </w:r>
    </w:p>
    <w:p w:rsidR="006E0626" w:rsidRPr="000D4395" w:rsidRDefault="006E0626" w:rsidP="006E0626">
      <w:pPr>
        <w:pStyle w:val="Default"/>
        <w:spacing w:after="0" w:line="240" w:lineRule="auto"/>
        <w:ind w:left="360"/>
      </w:pPr>
    </w:p>
    <w:p w:rsidR="006E0626" w:rsidRPr="000D4395" w:rsidRDefault="00EC33B8" w:rsidP="006E0626">
      <w:pPr>
        <w:pStyle w:val="Default"/>
        <w:spacing w:after="0" w:line="240" w:lineRule="auto"/>
        <w:ind w:left="360"/>
      </w:pPr>
      <w:r w:rsidRPr="000D4395">
        <w:t xml:space="preserve">The Institute </w:t>
      </w:r>
      <w:r w:rsidR="002F01D2" w:rsidRPr="000D4395">
        <w:t xml:space="preserve">Board would consist of two levels.  The target number for the </w:t>
      </w:r>
      <w:r w:rsidR="003C184A" w:rsidRPr="000D4395">
        <w:t xml:space="preserve">Executive </w:t>
      </w:r>
      <w:r w:rsidR="002F01D2" w:rsidRPr="000D4395">
        <w:t xml:space="preserve">level will be </w:t>
      </w:r>
      <w:r w:rsidRPr="000D4395">
        <w:t>6 to 8</w:t>
      </w:r>
      <w:r w:rsidR="003E2510" w:rsidRPr="000D4395">
        <w:t xml:space="preserve"> </w:t>
      </w:r>
      <w:r w:rsidR="002F01D2" w:rsidRPr="000D4395">
        <w:t xml:space="preserve">members and the target for the </w:t>
      </w:r>
      <w:r w:rsidRPr="000D4395">
        <w:t>Advisory</w:t>
      </w:r>
      <w:r w:rsidR="002F01D2" w:rsidRPr="000D4395">
        <w:t xml:space="preserve"> members will be </w:t>
      </w:r>
      <w:r w:rsidRPr="000D4395">
        <w:t>15</w:t>
      </w:r>
      <w:r w:rsidR="003E2510" w:rsidRPr="000D4395">
        <w:t xml:space="preserve"> to </w:t>
      </w:r>
      <w:r w:rsidRPr="000D4395">
        <w:t>30</w:t>
      </w:r>
      <w:r w:rsidR="00852F95" w:rsidRPr="000D4395">
        <w:t xml:space="preserve"> members. Executive </w:t>
      </w:r>
      <w:r w:rsidR="00A16F35" w:rsidRPr="000D4395">
        <w:t>members will be industry leaders who bring significant experience a</w:t>
      </w:r>
      <w:r w:rsidR="00295662" w:rsidRPr="000D4395">
        <w:t>nd</w:t>
      </w:r>
      <w:r w:rsidR="00A16F35" w:rsidRPr="000D4395">
        <w:t xml:space="preserve"> res</w:t>
      </w:r>
      <w:r w:rsidR="00295662" w:rsidRPr="000D4395">
        <w:t>ource support to the institute</w:t>
      </w:r>
      <w:r w:rsidRPr="000D4395">
        <w:t>. Advisory</w:t>
      </w:r>
      <w:r w:rsidR="00A16F35" w:rsidRPr="000D4395">
        <w:t xml:space="preserve"> members will include project sponsors and donors at lower levels.</w:t>
      </w:r>
      <w:r w:rsidR="00874C00" w:rsidRPr="000D4395">
        <w:t xml:space="preserve"> Executive </w:t>
      </w:r>
      <w:r w:rsidR="00295662" w:rsidRPr="000D4395">
        <w:t>level sponsors will serve</w:t>
      </w:r>
      <w:r w:rsidR="00874C00" w:rsidRPr="000D4395">
        <w:t xml:space="preserve"> for 3 years while advisory</w:t>
      </w:r>
      <w:r w:rsidR="00295662" w:rsidRPr="000D4395">
        <w:t xml:space="preserve"> members will be selected annually.  The advisory board members</w:t>
      </w:r>
      <w:r w:rsidR="000D6B79" w:rsidRPr="000D4395">
        <w:t xml:space="preserve"> will be nominated by the institute co-</w:t>
      </w:r>
      <w:r w:rsidR="00295662" w:rsidRPr="000D4395">
        <w:t xml:space="preserve">directors and approved by the </w:t>
      </w:r>
      <w:r w:rsidR="00874C00" w:rsidRPr="000D4395">
        <w:t xml:space="preserve">Dean’s Advisory Council. </w:t>
      </w:r>
    </w:p>
    <w:p w:rsidR="006E0626" w:rsidRPr="000D4395" w:rsidRDefault="006E0626" w:rsidP="006E0626">
      <w:pPr>
        <w:pStyle w:val="Default"/>
        <w:spacing w:after="0" w:line="240" w:lineRule="auto"/>
        <w:ind w:left="360"/>
      </w:pPr>
    </w:p>
    <w:p w:rsidR="000A5B02" w:rsidRPr="000D4395" w:rsidRDefault="000A5B02" w:rsidP="000A5B02">
      <w:pPr>
        <w:pStyle w:val="Default"/>
        <w:numPr>
          <w:ilvl w:val="0"/>
          <w:numId w:val="1"/>
        </w:numPr>
        <w:spacing w:after="0" w:line="240" w:lineRule="auto"/>
        <w:ind w:left="360"/>
      </w:pPr>
      <w:r w:rsidRPr="000D4395">
        <w:t>The metrics to be used to evaluate the Center’s feasibility at its five-year review.</w:t>
      </w:r>
    </w:p>
    <w:p w:rsidR="002F01D2" w:rsidRPr="000D4395" w:rsidRDefault="002F01D2" w:rsidP="002F01D2">
      <w:pPr>
        <w:pStyle w:val="Default"/>
        <w:spacing w:after="0" w:line="240" w:lineRule="auto"/>
      </w:pPr>
    </w:p>
    <w:p w:rsidR="00472E9E" w:rsidRPr="000D4395" w:rsidRDefault="00472E9E" w:rsidP="002F01D2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472E9E" w:rsidRPr="000D4395" w:rsidRDefault="00472E9E" w:rsidP="002F01D2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2F01D2" w:rsidRPr="000D4395" w:rsidRDefault="002F01D2" w:rsidP="002F01D2">
      <w:pPr>
        <w:pStyle w:val="PlainText"/>
        <w:rPr>
          <w:rFonts w:ascii="Times New Roman" w:hAnsi="Times New Roman"/>
          <w:b/>
          <w:sz w:val="24"/>
          <w:szCs w:val="24"/>
        </w:rPr>
      </w:pPr>
      <w:r w:rsidRPr="000D4395">
        <w:rPr>
          <w:rFonts w:ascii="Times New Roman" w:hAnsi="Times New Roman"/>
          <w:b/>
          <w:sz w:val="24"/>
          <w:szCs w:val="24"/>
        </w:rPr>
        <w:t xml:space="preserve">Vision </w:t>
      </w:r>
    </w:p>
    <w:p w:rsidR="002F01D2" w:rsidRPr="000D4395" w:rsidRDefault="002F01D2" w:rsidP="002F01D2">
      <w:pPr>
        <w:pStyle w:val="PlainText"/>
        <w:rPr>
          <w:rFonts w:ascii="Times New Roman" w:hAnsi="Times New Roman"/>
          <w:sz w:val="24"/>
          <w:szCs w:val="24"/>
        </w:rPr>
      </w:pPr>
      <w:r w:rsidRPr="000D4395">
        <w:rPr>
          <w:rFonts w:ascii="Times New Roman" w:hAnsi="Times New Roman"/>
          <w:sz w:val="24"/>
          <w:szCs w:val="24"/>
        </w:rPr>
        <w:t xml:space="preserve">To be the premier academic </w:t>
      </w:r>
      <w:r w:rsidR="00200ABF" w:rsidRPr="000D4395">
        <w:rPr>
          <w:rFonts w:ascii="Times New Roman" w:hAnsi="Times New Roman"/>
          <w:sz w:val="24"/>
          <w:szCs w:val="24"/>
        </w:rPr>
        <w:t>Institute</w:t>
      </w:r>
      <w:r w:rsidRPr="000D4395">
        <w:rPr>
          <w:rFonts w:ascii="Times New Roman" w:hAnsi="Times New Roman"/>
          <w:sz w:val="24"/>
          <w:szCs w:val="24"/>
        </w:rPr>
        <w:t xml:space="preserve"> for elevating statistics and analytics research, innovation and practice</w:t>
      </w:r>
    </w:p>
    <w:p w:rsidR="002F01D2" w:rsidRPr="000D4395" w:rsidRDefault="002F01D2" w:rsidP="002F01D2">
      <w:pPr>
        <w:pStyle w:val="PlainText"/>
        <w:rPr>
          <w:rFonts w:ascii="Times New Roman" w:hAnsi="Times New Roman"/>
          <w:sz w:val="24"/>
          <w:szCs w:val="24"/>
        </w:rPr>
      </w:pPr>
      <w:r w:rsidRPr="000D4395">
        <w:rPr>
          <w:rFonts w:ascii="Times New Roman" w:hAnsi="Times New Roman"/>
          <w:sz w:val="24"/>
          <w:szCs w:val="24"/>
        </w:rPr>
        <w:t> </w:t>
      </w:r>
    </w:p>
    <w:p w:rsidR="002F01D2" w:rsidRPr="000D4395" w:rsidRDefault="002F01D2" w:rsidP="002F01D2">
      <w:pPr>
        <w:pStyle w:val="PlainText"/>
        <w:rPr>
          <w:rFonts w:ascii="Times New Roman" w:hAnsi="Times New Roman"/>
          <w:b/>
          <w:sz w:val="24"/>
          <w:szCs w:val="24"/>
        </w:rPr>
      </w:pPr>
      <w:r w:rsidRPr="000D4395">
        <w:rPr>
          <w:rFonts w:ascii="Times New Roman" w:hAnsi="Times New Roman"/>
          <w:b/>
          <w:sz w:val="24"/>
          <w:szCs w:val="24"/>
        </w:rPr>
        <w:t>Mission</w:t>
      </w:r>
    </w:p>
    <w:p w:rsidR="002F01D2" w:rsidRPr="000D4395" w:rsidRDefault="002F01D2" w:rsidP="002F01D2">
      <w:pPr>
        <w:pStyle w:val="PlainText"/>
        <w:rPr>
          <w:rFonts w:ascii="Times New Roman" w:hAnsi="Times New Roman"/>
          <w:sz w:val="24"/>
          <w:szCs w:val="24"/>
        </w:rPr>
      </w:pPr>
      <w:r w:rsidRPr="000D4395">
        <w:rPr>
          <w:rFonts w:ascii="Times New Roman" w:hAnsi="Times New Roman"/>
          <w:sz w:val="24"/>
          <w:szCs w:val="24"/>
        </w:rPr>
        <w:lastRenderedPageBreak/>
        <w:t>The University of Arkansas Institute for Statistics and Analytics leverages its faculty and expertise to</w:t>
      </w:r>
      <w:r w:rsidR="00237FBC" w:rsidRPr="000D4395">
        <w:rPr>
          <w:rFonts w:ascii="Times New Roman" w:hAnsi="Times New Roman"/>
          <w:sz w:val="24"/>
          <w:szCs w:val="24"/>
        </w:rPr>
        <w:t xml:space="preserve"> promote </w:t>
      </w:r>
      <w:r w:rsidRPr="000D4395">
        <w:rPr>
          <w:rFonts w:ascii="Times New Roman" w:hAnsi="Times New Roman"/>
          <w:sz w:val="24"/>
          <w:szCs w:val="24"/>
        </w:rPr>
        <w:t>the following areas:</w:t>
      </w:r>
    </w:p>
    <w:p w:rsidR="002F01D2" w:rsidRPr="000D4395" w:rsidRDefault="002F01D2" w:rsidP="002F01D2">
      <w:pPr>
        <w:pStyle w:val="PlainText"/>
        <w:rPr>
          <w:rFonts w:ascii="Times New Roman" w:hAnsi="Times New Roman"/>
          <w:sz w:val="24"/>
          <w:szCs w:val="24"/>
        </w:rPr>
      </w:pPr>
      <w:r w:rsidRPr="000D4395">
        <w:rPr>
          <w:rFonts w:ascii="Times New Roman" w:hAnsi="Times New Roman"/>
          <w:sz w:val="24"/>
          <w:szCs w:val="24"/>
        </w:rPr>
        <w:t> </w:t>
      </w:r>
    </w:p>
    <w:p w:rsidR="00200ABF" w:rsidRPr="000D4395" w:rsidRDefault="00200ABF" w:rsidP="00200ABF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4395">
        <w:rPr>
          <w:rFonts w:ascii="Times New Roman" w:hAnsi="Times New Roman"/>
          <w:sz w:val="24"/>
          <w:szCs w:val="24"/>
        </w:rPr>
        <w:t>Serve as the bridge between academia and industry for finding solutions to industry issues and problems</w:t>
      </w:r>
    </w:p>
    <w:p w:rsidR="002F01D2" w:rsidRPr="000D4395" w:rsidRDefault="00200ABF" w:rsidP="00200ABF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4395">
        <w:rPr>
          <w:rFonts w:ascii="Times New Roman" w:hAnsi="Times New Roman"/>
          <w:sz w:val="24"/>
          <w:szCs w:val="24"/>
        </w:rPr>
        <w:t>Discover new Statistics and Analytics methodologies and techniques</w:t>
      </w:r>
      <w:r w:rsidR="002F01D2" w:rsidRPr="000D4395">
        <w:rPr>
          <w:rFonts w:ascii="Times New Roman" w:hAnsi="Times New Roman"/>
          <w:sz w:val="24"/>
          <w:szCs w:val="24"/>
        </w:rPr>
        <w:t xml:space="preserve"> </w:t>
      </w:r>
    </w:p>
    <w:p w:rsidR="002F01D2" w:rsidRPr="000D4395" w:rsidRDefault="002F01D2" w:rsidP="00200ABF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4395">
        <w:rPr>
          <w:rFonts w:ascii="Times New Roman" w:hAnsi="Times New Roman"/>
          <w:sz w:val="24"/>
          <w:szCs w:val="24"/>
        </w:rPr>
        <w:t>Encourage and support faculty lead research</w:t>
      </w:r>
    </w:p>
    <w:p w:rsidR="00200ABF" w:rsidRPr="000D4395" w:rsidRDefault="00200ABF" w:rsidP="00200ABF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4395">
        <w:rPr>
          <w:rFonts w:ascii="Times New Roman" w:hAnsi="Times New Roman"/>
          <w:sz w:val="24"/>
          <w:szCs w:val="24"/>
        </w:rPr>
        <w:t>Encourage and support curricula development</w:t>
      </w:r>
    </w:p>
    <w:p w:rsidR="00971001" w:rsidRPr="000D4395" w:rsidRDefault="00971001" w:rsidP="00971001">
      <w:pPr>
        <w:pStyle w:val="PlainText"/>
        <w:rPr>
          <w:rFonts w:ascii="Times New Roman" w:hAnsi="Times New Roman"/>
          <w:sz w:val="24"/>
          <w:szCs w:val="24"/>
        </w:rPr>
      </w:pPr>
    </w:p>
    <w:p w:rsidR="000A5B02" w:rsidRPr="000D4395" w:rsidRDefault="00971001" w:rsidP="00971001">
      <w:pPr>
        <w:ind w:left="360"/>
        <w:rPr>
          <w:rFonts w:ascii="Times New Roman" w:hAnsi="Times New Roman" w:cs="Times New Roman"/>
          <w:sz w:val="24"/>
          <w:szCs w:val="24"/>
        </w:rPr>
      </w:pPr>
      <w:r w:rsidRPr="000D4395">
        <w:rPr>
          <w:rFonts w:ascii="Times New Roman" w:hAnsi="Times New Roman" w:cs="Times New Roman"/>
          <w:sz w:val="24"/>
          <w:szCs w:val="24"/>
        </w:rPr>
        <w:t>Metrics for measuring the Institute’s success include:</w:t>
      </w:r>
    </w:p>
    <w:p w:rsidR="00971001" w:rsidRPr="000D4395" w:rsidRDefault="000D4395" w:rsidP="00971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395">
        <w:rPr>
          <w:rFonts w:ascii="Times New Roman" w:hAnsi="Times New Roman" w:cs="Times New Roman"/>
          <w:sz w:val="24"/>
          <w:szCs w:val="24"/>
        </w:rPr>
        <w:t>Number of Executive</w:t>
      </w:r>
      <w:r w:rsidR="00971001" w:rsidRPr="000D4395">
        <w:rPr>
          <w:rFonts w:ascii="Times New Roman" w:hAnsi="Times New Roman" w:cs="Times New Roman"/>
          <w:sz w:val="24"/>
          <w:szCs w:val="24"/>
        </w:rPr>
        <w:t xml:space="preserve"> Board Members</w:t>
      </w:r>
    </w:p>
    <w:p w:rsidR="00971001" w:rsidRPr="000D4395" w:rsidRDefault="000D4395" w:rsidP="00971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395">
        <w:rPr>
          <w:rFonts w:ascii="Times New Roman" w:hAnsi="Times New Roman" w:cs="Times New Roman"/>
          <w:sz w:val="24"/>
          <w:szCs w:val="24"/>
        </w:rPr>
        <w:t>Number of Advisory</w:t>
      </w:r>
      <w:r w:rsidR="00971001" w:rsidRPr="000D4395">
        <w:rPr>
          <w:rFonts w:ascii="Times New Roman" w:hAnsi="Times New Roman" w:cs="Times New Roman"/>
          <w:sz w:val="24"/>
          <w:szCs w:val="24"/>
        </w:rPr>
        <w:t xml:space="preserve"> Board Members</w:t>
      </w:r>
    </w:p>
    <w:p w:rsidR="00971001" w:rsidRPr="000D4395" w:rsidRDefault="00971001" w:rsidP="00971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395">
        <w:rPr>
          <w:rFonts w:ascii="Times New Roman" w:hAnsi="Times New Roman" w:cs="Times New Roman"/>
          <w:sz w:val="24"/>
          <w:szCs w:val="24"/>
        </w:rPr>
        <w:t xml:space="preserve">Dollar amount of projects </w:t>
      </w:r>
    </w:p>
    <w:p w:rsidR="00971001" w:rsidRPr="000D4395" w:rsidRDefault="00971001" w:rsidP="00971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395">
        <w:rPr>
          <w:rFonts w:ascii="Times New Roman" w:hAnsi="Times New Roman" w:cs="Times New Roman"/>
          <w:sz w:val="24"/>
          <w:szCs w:val="24"/>
        </w:rPr>
        <w:t>Value of solutions to problems</w:t>
      </w:r>
    </w:p>
    <w:p w:rsidR="00971001" w:rsidRPr="000D4395" w:rsidRDefault="00971001" w:rsidP="00971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395">
        <w:rPr>
          <w:rFonts w:ascii="Times New Roman" w:hAnsi="Times New Roman" w:cs="Times New Roman"/>
          <w:sz w:val="24"/>
          <w:szCs w:val="24"/>
        </w:rPr>
        <w:t>Dollar amount of funded research outside of projects</w:t>
      </w:r>
    </w:p>
    <w:p w:rsidR="00C51B74" w:rsidRPr="000D4395" w:rsidRDefault="00971001" w:rsidP="00C51B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395">
        <w:rPr>
          <w:rFonts w:ascii="Times New Roman" w:hAnsi="Times New Roman" w:cs="Times New Roman"/>
          <w:sz w:val="24"/>
          <w:szCs w:val="24"/>
        </w:rPr>
        <w:t>Journal publications as a result of involvement with the Institute</w:t>
      </w:r>
    </w:p>
    <w:p w:rsidR="00C51B74" w:rsidRPr="000D4395" w:rsidRDefault="00C51B74" w:rsidP="00C51B74">
      <w:pPr>
        <w:rPr>
          <w:rFonts w:ascii="Times New Roman" w:hAnsi="Times New Roman" w:cs="Times New Roman"/>
          <w:sz w:val="24"/>
          <w:szCs w:val="24"/>
        </w:rPr>
      </w:pPr>
      <w:r w:rsidRPr="000D4395"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:rsidR="000F1780" w:rsidRPr="000D4395" w:rsidRDefault="00C51B74" w:rsidP="00C51B74">
      <w:pPr>
        <w:rPr>
          <w:rFonts w:ascii="Times New Roman" w:hAnsi="Times New Roman" w:cs="Times New Roman"/>
          <w:sz w:val="24"/>
          <w:szCs w:val="24"/>
        </w:rPr>
      </w:pPr>
      <w:r w:rsidRPr="000D4395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0D4395">
        <w:rPr>
          <w:rFonts w:ascii="Times New Roman" w:hAnsi="Times New Roman" w:cs="Times New Roman"/>
          <w:sz w:val="24"/>
          <w:szCs w:val="24"/>
        </w:rPr>
        <w:t xml:space="preserve"> Information within the document includes thoughts and summaries taken from a preliminary meeting of potential Advisory Board Members and in particular the graphic in article 3 from Gary Whicker of JB Hunt.</w:t>
      </w:r>
    </w:p>
    <w:p w:rsidR="003E698F" w:rsidRDefault="003E698F" w:rsidP="00C51B74">
      <w:pPr>
        <w:rPr>
          <w:sz w:val="20"/>
          <w:szCs w:val="20"/>
        </w:rPr>
      </w:pPr>
    </w:p>
    <w:p w:rsidR="003E698F" w:rsidRDefault="003E698F" w:rsidP="00C51B74">
      <w:pPr>
        <w:rPr>
          <w:sz w:val="20"/>
          <w:szCs w:val="20"/>
        </w:rPr>
      </w:pPr>
    </w:p>
    <w:p w:rsidR="000F1780" w:rsidRDefault="000F1780">
      <w:pPr>
        <w:rPr>
          <w:sz w:val="20"/>
          <w:szCs w:val="20"/>
        </w:rPr>
      </w:pPr>
    </w:p>
    <w:sectPr w:rsidR="000F1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08" w:rsidRDefault="001D2F08" w:rsidP="007C2ED0">
      <w:pPr>
        <w:spacing w:after="0" w:line="240" w:lineRule="auto"/>
      </w:pPr>
      <w:r>
        <w:separator/>
      </w:r>
    </w:p>
  </w:endnote>
  <w:endnote w:type="continuationSeparator" w:id="0">
    <w:p w:rsidR="001D2F08" w:rsidRDefault="001D2F08" w:rsidP="007C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08" w:rsidRDefault="001D2F08" w:rsidP="007C2ED0">
      <w:pPr>
        <w:spacing w:after="0" w:line="240" w:lineRule="auto"/>
      </w:pPr>
      <w:r>
        <w:separator/>
      </w:r>
    </w:p>
  </w:footnote>
  <w:footnote w:type="continuationSeparator" w:id="0">
    <w:p w:rsidR="001D2F08" w:rsidRDefault="001D2F08" w:rsidP="007C2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821"/>
    <w:multiLevelType w:val="hybridMultilevel"/>
    <w:tmpl w:val="2812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26A0"/>
    <w:multiLevelType w:val="hybridMultilevel"/>
    <w:tmpl w:val="2A205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2047"/>
    <w:multiLevelType w:val="hybridMultilevel"/>
    <w:tmpl w:val="F9C0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63ABF"/>
    <w:multiLevelType w:val="hybridMultilevel"/>
    <w:tmpl w:val="EA80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2AC6"/>
    <w:multiLevelType w:val="hybridMultilevel"/>
    <w:tmpl w:val="4CDA9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61315B"/>
    <w:multiLevelType w:val="hybridMultilevel"/>
    <w:tmpl w:val="DBAAA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73946"/>
    <w:multiLevelType w:val="hybridMultilevel"/>
    <w:tmpl w:val="7A0EE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459CD"/>
    <w:multiLevelType w:val="hybridMultilevel"/>
    <w:tmpl w:val="AC94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F59CC"/>
    <w:multiLevelType w:val="hybridMultilevel"/>
    <w:tmpl w:val="09C2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A676F"/>
    <w:multiLevelType w:val="hybridMultilevel"/>
    <w:tmpl w:val="D6B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02"/>
    <w:rsid w:val="000304B7"/>
    <w:rsid w:val="00044533"/>
    <w:rsid w:val="00051F0B"/>
    <w:rsid w:val="00081E54"/>
    <w:rsid w:val="000A0CDF"/>
    <w:rsid w:val="000A5B02"/>
    <w:rsid w:val="000A7FA4"/>
    <w:rsid w:val="000D4395"/>
    <w:rsid w:val="000D6B79"/>
    <w:rsid w:val="000D7E5A"/>
    <w:rsid w:val="000F1780"/>
    <w:rsid w:val="001254E0"/>
    <w:rsid w:val="001304B5"/>
    <w:rsid w:val="00160BFD"/>
    <w:rsid w:val="001A47A5"/>
    <w:rsid w:val="001A6C11"/>
    <w:rsid w:val="001D2F08"/>
    <w:rsid w:val="001D64A5"/>
    <w:rsid w:val="001F2C13"/>
    <w:rsid w:val="00200ABF"/>
    <w:rsid w:val="00215D70"/>
    <w:rsid w:val="00224166"/>
    <w:rsid w:val="00237FBC"/>
    <w:rsid w:val="00244E27"/>
    <w:rsid w:val="00295662"/>
    <w:rsid w:val="002D5A18"/>
    <w:rsid w:val="002D7F47"/>
    <w:rsid w:val="002F01D2"/>
    <w:rsid w:val="00303808"/>
    <w:rsid w:val="00387403"/>
    <w:rsid w:val="003C184A"/>
    <w:rsid w:val="003D4746"/>
    <w:rsid w:val="003E2510"/>
    <w:rsid w:val="003E698F"/>
    <w:rsid w:val="004314AF"/>
    <w:rsid w:val="00431D98"/>
    <w:rsid w:val="00436ABB"/>
    <w:rsid w:val="004477A1"/>
    <w:rsid w:val="0045760C"/>
    <w:rsid w:val="004614D1"/>
    <w:rsid w:val="00472E9E"/>
    <w:rsid w:val="00487774"/>
    <w:rsid w:val="004A3AAE"/>
    <w:rsid w:val="004B47A2"/>
    <w:rsid w:val="004C6781"/>
    <w:rsid w:val="004E01B1"/>
    <w:rsid w:val="006514C9"/>
    <w:rsid w:val="00671FF9"/>
    <w:rsid w:val="006E0626"/>
    <w:rsid w:val="00715F9F"/>
    <w:rsid w:val="00731ADE"/>
    <w:rsid w:val="00741FE0"/>
    <w:rsid w:val="007965A6"/>
    <w:rsid w:val="007A5ADD"/>
    <w:rsid w:val="007C2ED0"/>
    <w:rsid w:val="007E6311"/>
    <w:rsid w:val="0080261A"/>
    <w:rsid w:val="00850824"/>
    <w:rsid w:val="00852F95"/>
    <w:rsid w:val="00866AFC"/>
    <w:rsid w:val="00874C00"/>
    <w:rsid w:val="00875867"/>
    <w:rsid w:val="00877000"/>
    <w:rsid w:val="008B040F"/>
    <w:rsid w:val="00971001"/>
    <w:rsid w:val="009747AC"/>
    <w:rsid w:val="00975600"/>
    <w:rsid w:val="009C16B9"/>
    <w:rsid w:val="009E0937"/>
    <w:rsid w:val="009F31DD"/>
    <w:rsid w:val="009F4E46"/>
    <w:rsid w:val="00A16F35"/>
    <w:rsid w:val="00A5284B"/>
    <w:rsid w:val="00AC47F3"/>
    <w:rsid w:val="00BC0B5E"/>
    <w:rsid w:val="00BD75A8"/>
    <w:rsid w:val="00BE66C4"/>
    <w:rsid w:val="00BF72C9"/>
    <w:rsid w:val="00C2144E"/>
    <w:rsid w:val="00C51B74"/>
    <w:rsid w:val="00C76AA5"/>
    <w:rsid w:val="00C85C81"/>
    <w:rsid w:val="00C942C7"/>
    <w:rsid w:val="00CF1518"/>
    <w:rsid w:val="00CF7B27"/>
    <w:rsid w:val="00DA710F"/>
    <w:rsid w:val="00DC769A"/>
    <w:rsid w:val="00E15157"/>
    <w:rsid w:val="00E407B7"/>
    <w:rsid w:val="00E85A58"/>
    <w:rsid w:val="00EB1BE4"/>
    <w:rsid w:val="00EC33B8"/>
    <w:rsid w:val="00F343D7"/>
    <w:rsid w:val="00F50599"/>
    <w:rsid w:val="00F5094C"/>
    <w:rsid w:val="00F640BC"/>
    <w:rsid w:val="00F97803"/>
    <w:rsid w:val="00FD25FC"/>
    <w:rsid w:val="00F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C1862-9BBF-42FE-BD6E-976CA157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5B02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6A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F01D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2F01D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6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F3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2E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2E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2E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31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gartner.com/newsroom/id/26846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vantage.com/wp-content/uploads/2013/09/Big-Data-Survey-2013-Executive-Summ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3938-7B1C-4700-9101-C6B7927C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Douglas</dc:creator>
  <cp:lastModifiedBy>Alice S. Griffin</cp:lastModifiedBy>
  <cp:revision>2</cp:revision>
  <cp:lastPrinted>2015-06-04T19:54:00Z</cp:lastPrinted>
  <dcterms:created xsi:type="dcterms:W3CDTF">2015-12-10T15:53:00Z</dcterms:created>
  <dcterms:modified xsi:type="dcterms:W3CDTF">2015-12-10T15:53:00Z</dcterms:modified>
</cp:coreProperties>
</file>